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3D35E" w14:textId="77777777" w:rsidR="00EE2D49" w:rsidRPr="00637DBD" w:rsidRDefault="00EE2D49" w:rsidP="00EE2D49">
      <w:pPr>
        <w:tabs>
          <w:tab w:val="left" w:pos="7284"/>
        </w:tabs>
        <w:ind w:left="5664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To send back to:</w:t>
      </w:r>
    </w:p>
    <w:p w14:paraId="5A60B76E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ind w:left="5664"/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n-US" w:eastAsia="en-US"/>
        </w:rPr>
        <w:t>SARTORIUS STEDIM BIOTECH S.A.</w:t>
      </w:r>
    </w:p>
    <w:p w14:paraId="4B69E195" w14:textId="77777777" w:rsidR="00EE2D49" w:rsidRPr="00EE2D49" w:rsidRDefault="00EE2D49" w:rsidP="00EE2D49">
      <w:pPr>
        <w:tabs>
          <w:tab w:val="left" w:pos="7284"/>
        </w:tabs>
        <w:spacing w:after="0" w:line="250" w:lineRule="exact"/>
        <w:ind w:left="5664"/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s-ES" w:eastAsia="en-US"/>
        </w:rPr>
      </w:pPr>
      <w:r w:rsidRPr="00EE2D49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s-ES" w:eastAsia="en-US"/>
        </w:rPr>
        <w:t xml:space="preserve">Legal </w:t>
      </w:r>
      <w:proofErr w:type="spellStart"/>
      <w:r w:rsidRPr="00EE2D49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s-ES" w:eastAsia="en-US"/>
        </w:rPr>
        <w:t>department</w:t>
      </w:r>
      <w:proofErr w:type="spellEnd"/>
    </w:p>
    <w:p w14:paraId="37FFFD2D" w14:textId="77777777" w:rsidR="00EE2D49" w:rsidRPr="00EE2D49" w:rsidRDefault="00EE2D49" w:rsidP="00EE2D49">
      <w:pPr>
        <w:tabs>
          <w:tab w:val="left" w:pos="7284"/>
        </w:tabs>
        <w:spacing w:after="0" w:line="250" w:lineRule="exact"/>
        <w:ind w:left="5664"/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s-ES" w:eastAsia="en-US"/>
        </w:rPr>
      </w:pPr>
      <w:r w:rsidRPr="00EE2D49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s-ES" w:eastAsia="en-US"/>
        </w:rPr>
        <w:t xml:space="preserve">Z.I. Les </w:t>
      </w:r>
      <w:proofErr w:type="spellStart"/>
      <w:r w:rsidRPr="00EE2D49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s-ES" w:eastAsia="en-US"/>
        </w:rPr>
        <w:t>Paluds</w:t>
      </w:r>
      <w:proofErr w:type="spellEnd"/>
      <w:r w:rsidRPr="00EE2D49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s-ES" w:eastAsia="en-US"/>
        </w:rPr>
        <w:t xml:space="preserve"> </w:t>
      </w:r>
      <w:r w:rsidRPr="00EE2D4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s-ES" w:eastAsia="en-US"/>
        </w:rPr>
        <w:t>‐</w:t>
      </w:r>
    </w:p>
    <w:p w14:paraId="72A07E56" w14:textId="77777777" w:rsidR="00EE2D49" w:rsidRPr="001E4EDC" w:rsidRDefault="00EE2D49" w:rsidP="00EE2D49">
      <w:pPr>
        <w:tabs>
          <w:tab w:val="left" w:pos="7284"/>
        </w:tabs>
        <w:spacing w:after="0" w:line="250" w:lineRule="exact"/>
        <w:ind w:left="5664"/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n-GB" w:eastAsia="en-US"/>
        </w:rPr>
      </w:pPr>
      <w:r w:rsidRPr="001E4EDC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n-GB" w:eastAsia="en-US"/>
        </w:rPr>
        <w:t xml:space="preserve">Avenue de </w:t>
      </w:r>
      <w:proofErr w:type="spellStart"/>
      <w:r w:rsidRPr="001E4EDC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n-GB" w:eastAsia="en-US"/>
        </w:rPr>
        <w:t>Jouques</w:t>
      </w:r>
      <w:proofErr w:type="spellEnd"/>
    </w:p>
    <w:p w14:paraId="121BA507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ind w:left="5664"/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b/>
          <w:bCs/>
          <w:color w:val="000000"/>
          <w:sz w:val="20"/>
          <w:szCs w:val="20"/>
          <w:lang w:val="en-US" w:eastAsia="en-US"/>
        </w:rPr>
        <w:t>13400 Aubagne</w:t>
      </w:r>
    </w:p>
    <w:p w14:paraId="4996B3B7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ind w:left="5664"/>
        <w:rPr>
          <w:rFonts w:ascii="TT Norms Pro" w:eastAsia="Calibri" w:hAnsi="TT Norms Pro" w:cs="Times New Roman"/>
          <w:b/>
          <w:color w:val="000000"/>
          <w:sz w:val="20"/>
          <w:szCs w:val="20"/>
          <w:lang w:val="en-US" w:eastAsia="en-US"/>
        </w:rPr>
      </w:pPr>
    </w:p>
    <w:p w14:paraId="357959D5" w14:textId="77777777" w:rsidR="00EE2D49" w:rsidRDefault="00EE2D49" w:rsidP="00EE2D49">
      <w:pPr>
        <w:tabs>
          <w:tab w:val="left" w:pos="7284"/>
        </w:tabs>
        <w:spacing w:after="0" w:line="250" w:lineRule="exact"/>
        <w:rPr>
          <w:rFonts w:ascii="TT Norms Pro" w:eastAsia="Calibri" w:hAnsi="TT Norms Pro" w:cs="Times New Roman"/>
          <w:b/>
          <w:color w:val="000000"/>
          <w:sz w:val="20"/>
          <w:szCs w:val="20"/>
          <w:lang w:val="en-US" w:eastAsia="en-US"/>
        </w:rPr>
      </w:pPr>
    </w:p>
    <w:p w14:paraId="0B781EDE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rPr>
          <w:rFonts w:ascii="TT Norms Pro" w:eastAsia="Calibri" w:hAnsi="TT Norms Pro" w:cs="Times New Roman"/>
          <w:b/>
          <w:color w:val="000000"/>
          <w:sz w:val="20"/>
          <w:szCs w:val="20"/>
          <w:lang w:val="en-US" w:eastAsia="en-US"/>
        </w:rPr>
      </w:pPr>
    </w:p>
    <w:p w14:paraId="1A44E000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</w:p>
    <w:p w14:paraId="5F522010" w14:textId="77777777" w:rsidR="00EE2D49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I, the undersigned</w:t>
      </w:r>
    </w:p>
    <w:p w14:paraId="6CA4EB43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</w:p>
    <w:p w14:paraId="0DE2674C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Name: ...........................................................................................................................................................................</w:t>
      </w:r>
    </w:p>
    <w:p w14:paraId="41A18F1F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Forename: ....................................................................................................................................................................</w:t>
      </w:r>
    </w:p>
    <w:p w14:paraId="6DFC8129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Registered name: .......................................................................................................................................................</w:t>
      </w:r>
    </w:p>
    <w:p w14:paraId="0AF3E720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Represented by: .........................................................................................................................................................</w:t>
      </w:r>
    </w:p>
    <w:p w14:paraId="49F67963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Acting as: .....................................................................................................................................................................</w:t>
      </w:r>
    </w:p>
    <w:p w14:paraId="0F9B9EBD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Home address /Registered </w:t>
      </w:r>
      <w:proofErr w:type="gramStart"/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office:......................................................................................................................</w:t>
      </w:r>
      <w:proofErr w:type="gramEnd"/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14:paraId="60256EFB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Owner of................................................................ registered shares,</w:t>
      </w:r>
    </w:p>
    <w:p w14:paraId="171F877A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and/or...................................................................................bearer shares, registered in the accounts of (bank, financial institution)........................................................................................................................, </w:t>
      </w:r>
    </w:p>
    <w:p w14:paraId="2F9D0333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</w:p>
    <w:p w14:paraId="359097FD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Asks to receive documents and information, concerning the Annual Combined General Shareholders’ Meeting of 2</w:t>
      </w:r>
      <w:r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9</w:t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 March 202</w:t>
      </w:r>
      <w:r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2</w:t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, referred to in the provisions of Article R.225</w:t>
      </w:r>
      <w:r w:rsidRPr="00637DBD">
        <w:rPr>
          <w:rFonts w:ascii="Times New Roman" w:eastAsia="Calibri" w:hAnsi="Times New Roman" w:cs="Times New Roman"/>
          <w:color w:val="000000"/>
          <w:sz w:val="20"/>
          <w:szCs w:val="20"/>
          <w:lang w:val="en-US" w:eastAsia="en-US"/>
        </w:rPr>
        <w:t>‐</w:t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88 of the French commercial code:</w:t>
      </w:r>
    </w:p>
    <w:p w14:paraId="0723A44C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</w:p>
    <w:p w14:paraId="7D62B3D9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de-DE" w:eastAsia="en-US"/>
        </w:rPr>
        <w:sym w:font="Wingdings" w:char="F072"/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 to my address indicated above</w:t>
      </w:r>
    </w:p>
    <w:p w14:paraId="4E9A8D88" w14:textId="77777777" w:rsidR="00EE2D49" w:rsidRPr="00637DBD" w:rsidRDefault="00EE2D49" w:rsidP="00EE2D49">
      <w:pPr>
        <w:tabs>
          <w:tab w:val="left" w:pos="7284"/>
        </w:tabs>
        <w:spacing w:after="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de-DE" w:eastAsia="en-US"/>
        </w:rPr>
        <w:sym w:font="Wingdings" w:char="F072"/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 to the following postal address: ......................................................................................................................</w:t>
      </w:r>
    </w:p>
    <w:p w14:paraId="1A34846F" w14:textId="77777777" w:rsidR="00EE2D49" w:rsidRPr="00637DBD" w:rsidRDefault="00EE2D49" w:rsidP="00EE2D49">
      <w:pPr>
        <w:tabs>
          <w:tab w:val="left" w:pos="7284"/>
        </w:tabs>
        <w:spacing w:after="240" w:line="250" w:lineRule="exact"/>
        <w:jc w:val="both"/>
        <w:rPr>
          <w:rFonts w:ascii="TT Norms Pro" w:eastAsia="Calibri" w:hAnsi="TT Norms Pro" w:cs="Times New Roman"/>
          <w:color w:val="C0504D"/>
          <w:sz w:val="20"/>
          <w:szCs w:val="20"/>
          <w:lang w:val="en-US" w:eastAsia="en-US"/>
        </w:rPr>
      </w:pPr>
    </w:p>
    <w:p w14:paraId="6BC94A9F" w14:textId="77777777" w:rsidR="00EE2D49" w:rsidRPr="00637DBD" w:rsidRDefault="00EE2D49" w:rsidP="00EE2D49">
      <w:pPr>
        <w:tabs>
          <w:tab w:val="left" w:pos="7284"/>
        </w:tabs>
        <w:spacing w:after="24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Done at ....................................................., on ..........................................................................................................</w:t>
      </w:r>
    </w:p>
    <w:p w14:paraId="2440ADB9" w14:textId="77777777" w:rsidR="00EE2D49" w:rsidRPr="00637DBD" w:rsidRDefault="00EE2D49" w:rsidP="00EE2D49">
      <w:pPr>
        <w:tabs>
          <w:tab w:val="left" w:pos="7284"/>
        </w:tabs>
        <w:spacing w:after="240" w:line="250" w:lineRule="exact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(signature)</w:t>
      </w:r>
    </w:p>
    <w:p w14:paraId="605564B4" w14:textId="77777777" w:rsidR="00EE2D49" w:rsidRPr="00637DBD" w:rsidRDefault="00EE2D49" w:rsidP="00EE2D49">
      <w:pPr>
        <w:tabs>
          <w:tab w:val="left" w:pos="7284"/>
        </w:tabs>
        <w:spacing w:after="240" w:line="250" w:lineRule="exact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</w:p>
    <w:p w14:paraId="470526B4" w14:textId="77777777" w:rsidR="00EE2D49" w:rsidRPr="00637DBD" w:rsidRDefault="00EE2D49" w:rsidP="00EE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84"/>
        </w:tabs>
        <w:spacing w:after="24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The documents and information referred to in the Articles R.225</w:t>
      </w:r>
      <w:r w:rsidRPr="00637DBD">
        <w:rPr>
          <w:rFonts w:ascii="Times New Roman" w:eastAsia="Calibri" w:hAnsi="Times New Roman" w:cs="Times New Roman"/>
          <w:color w:val="000000"/>
          <w:sz w:val="20"/>
          <w:szCs w:val="20"/>
          <w:lang w:val="en-US" w:eastAsia="en-US"/>
        </w:rPr>
        <w:t>‐</w:t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81 and R.225</w:t>
      </w:r>
      <w:r w:rsidRPr="00637DBD">
        <w:rPr>
          <w:rFonts w:ascii="Times New Roman" w:eastAsia="Calibri" w:hAnsi="Times New Roman" w:cs="Times New Roman"/>
          <w:color w:val="000000"/>
          <w:sz w:val="20"/>
          <w:szCs w:val="20"/>
          <w:lang w:val="en-US" w:eastAsia="en-US"/>
        </w:rPr>
        <w:t>‐</w:t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83 of the French commercial code are available on the website of the company.</w:t>
      </w:r>
    </w:p>
    <w:p w14:paraId="2BAAB503" w14:textId="77777777" w:rsidR="00EE2D49" w:rsidRPr="00637DBD" w:rsidRDefault="00EE2D49" w:rsidP="00EE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84"/>
        </w:tabs>
        <w:spacing w:after="24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According to the Article R.225</w:t>
      </w:r>
      <w:r w:rsidRPr="00637DBD">
        <w:rPr>
          <w:rFonts w:ascii="Times New Roman" w:eastAsia="Calibri" w:hAnsi="Times New Roman" w:cs="Times New Roman"/>
          <w:color w:val="000000"/>
          <w:sz w:val="20"/>
          <w:szCs w:val="20"/>
          <w:lang w:val="en-US" w:eastAsia="en-US"/>
        </w:rPr>
        <w:t>‐</w:t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88 subparagraph 3 of the French commercial code, shareholders owners of registered shares can, by a single request, receive from the company documents and information at each of the next annual shareholders’ meetings. </w:t>
      </w:r>
    </w:p>
    <w:p w14:paraId="4EEF03F6" w14:textId="77777777" w:rsidR="00EE2D49" w:rsidRPr="00637DBD" w:rsidRDefault="00EE2D49" w:rsidP="00EE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84"/>
        </w:tabs>
        <w:spacing w:after="240" w:line="250" w:lineRule="exact"/>
        <w:jc w:val="both"/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</w:pP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To this facility, check this </w:t>
      </w:r>
      <w:proofErr w:type="gramStart"/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>box :</w:t>
      </w:r>
      <w:proofErr w:type="gramEnd"/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en-US" w:eastAsia="en-US"/>
        </w:rPr>
        <w:t xml:space="preserve"> </w:t>
      </w:r>
      <w:r w:rsidRPr="00637DBD">
        <w:rPr>
          <w:rFonts w:ascii="TT Norms Pro" w:eastAsia="Calibri" w:hAnsi="TT Norms Pro" w:cs="Times New Roman"/>
          <w:color w:val="000000"/>
          <w:sz w:val="20"/>
          <w:szCs w:val="20"/>
          <w:lang w:val="de-DE" w:eastAsia="en-US"/>
        </w:rPr>
        <w:sym w:font="Wingdings" w:char="F072"/>
      </w:r>
    </w:p>
    <w:p w14:paraId="4277E655" w14:textId="77777777" w:rsidR="00EE2D49" w:rsidRPr="00637DBD" w:rsidRDefault="00EE2D49" w:rsidP="00EE2D49">
      <w:pPr>
        <w:tabs>
          <w:tab w:val="left" w:pos="7284"/>
        </w:tabs>
        <w:spacing w:after="240" w:line="250" w:lineRule="exact"/>
        <w:jc w:val="center"/>
        <w:rPr>
          <w:rFonts w:ascii="TT Norms Pro" w:eastAsia="Calibri" w:hAnsi="TT Norms Pro" w:cs="Times New Roman"/>
          <w:color w:val="000000"/>
          <w:sz w:val="24"/>
          <w:szCs w:val="24"/>
          <w:lang w:val="en-US" w:eastAsia="en-US"/>
        </w:rPr>
      </w:pPr>
    </w:p>
    <w:p w14:paraId="0CCC2F49" w14:textId="77777777" w:rsidR="00E10102" w:rsidRPr="00EE2D49" w:rsidRDefault="00E10102">
      <w:pPr>
        <w:rPr>
          <w:lang w:val="en-US"/>
        </w:rPr>
      </w:pPr>
    </w:p>
    <w:sectPr w:rsidR="00E10102" w:rsidRPr="00EE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panose1 w:val="02000503030000020003"/>
    <w:charset w:val="00"/>
    <w:family w:val="auto"/>
    <w:pitch w:val="variable"/>
    <w:sig w:usb0="A00002FF" w:usb1="5000A4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49"/>
    <w:rsid w:val="0018741F"/>
    <w:rsid w:val="00B43DA5"/>
    <w:rsid w:val="00C33BC0"/>
    <w:rsid w:val="00E10102"/>
    <w:rsid w:val="00E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EE4"/>
  <w15:chartTrackingRefBased/>
  <w15:docId w15:val="{4FFED17C-137C-4DF8-8B65-9E8B7A77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49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3DA5"/>
    <w:pPr>
      <w:keepNext/>
      <w:keepLines/>
      <w:spacing w:before="400" w:after="40" w:line="240" w:lineRule="auto"/>
      <w:outlineLvl w:val="0"/>
    </w:pPr>
    <w:rPr>
      <w:rFonts w:ascii="TT Norms Pro" w:eastAsiaTheme="majorEastAsia" w:hAnsi="TT Norms Pro" w:cstheme="majorBidi"/>
      <w:sz w:val="72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3DA5"/>
    <w:rPr>
      <w:rFonts w:ascii="TT Norms Pro" w:eastAsiaTheme="majorEastAsia" w:hAnsi="TT Norms Pro" w:cstheme="majorBidi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Lorfevre, Sandrine</dc:creator>
  <cp:keywords/>
  <dc:description/>
  <cp:lastModifiedBy>Lorfevre, Sandrine</cp:lastModifiedBy>
  <cp:revision>1</cp:revision>
  <dcterms:created xsi:type="dcterms:W3CDTF">2022-03-08T10:29:00Z</dcterms:created>
  <dcterms:modified xsi:type="dcterms:W3CDTF">2022-03-08T10:29:00Z</dcterms:modified>
</cp:coreProperties>
</file>